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76" w:rsidRDefault="00EE0276" w:rsidP="00EE0276">
      <w:pPr>
        <w:tabs>
          <w:tab w:val="left" w:pos="90"/>
        </w:tabs>
        <w:autoSpaceDE w:val="0"/>
        <w:autoSpaceDN w:val="0"/>
        <w:adjustRightInd w:val="0"/>
        <w:ind w:left="86"/>
        <w:jc w:val="center"/>
      </w:pPr>
      <w:bookmarkStart w:id="0" w:name="_GoBack"/>
      <w:bookmarkEnd w:id="0"/>
      <w:r w:rsidRPr="00ED707D">
        <w:t>6 NYCRR Parts 52, 190, 550-55</w:t>
      </w:r>
      <w:r>
        <w:t>6</w:t>
      </w:r>
      <w:r w:rsidRPr="00ED707D">
        <w:t>, 560, and 750</w:t>
      </w:r>
    </w:p>
    <w:p w:rsidR="00EE0276" w:rsidRPr="00ED707D" w:rsidRDefault="00EE0276" w:rsidP="00EE0276">
      <w:pPr>
        <w:tabs>
          <w:tab w:val="left" w:pos="90"/>
        </w:tabs>
        <w:autoSpaceDE w:val="0"/>
        <w:autoSpaceDN w:val="0"/>
        <w:adjustRightInd w:val="0"/>
        <w:ind w:left="86"/>
        <w:jc w:val="center"/>
      </w:pPr>
      <w:r>
        <w:t>HIGH-VOLUME HYDRAULIC FRACTURING</w:t>
      </w:r>
    </w:p>
    <w:p w:rsidR="000E2DB6" w:rsidRDefault="000E2DB6" w:rsidP="004C4377">
      <w:pPr>
        <w:jc w:val="center"/>
        <w:rPr>
          <w:u w:val="single"/>
        </w:rPr>
      </w:pPr>
    </w:p>
    <w:p w:rsidR="009071B4" w:rsidRPr="00EE0276" w:rsidRDefault="00EE0276" w:rsidP="004C4377">
      <w:pPr>
        <w:jc w:val="center"/>
      </w:pPr>
      <w:r>
        <w:t>SUMMARY OF ASSESSMENT OF PUBLIC COMMENT</w:t>
      </w:r>
    </w:p>
    <w:p w:rsidR="00FA4C41" w:rsidRDefault="00FA4C41" w:rsidP="004C4377">
      <w:pPr>
        <w:pStyle w:val="BodyText"/>
      </w:pPr>
    </w:p>
    <w:p w:rsidR="002E119C" w:rsidRDefault="004C4377">
      <w:pPr>
        <w:pStyle w:val="BodyText"/>
        <w:ind w:firstLine="720"/>
      </w:pPr>
      <w:r>
        <w:t xml:space="preserve">This assessment summarizes and responds to the </w:t>
      </w:r>
      <w:r w:rsidR="002E119C">
        <w:t xml:space="preserve">consolidated </w:t>
      </w:r>
      <w:r>
        <w:t xml:space="preserve">comments received on the draft regulations for </w:t>
      </w:r>
      <w:r w:rsidR="002E119C">
        <w:t>Parts 52, 190, 550-556, 560,750-1, and 750-3.</w:t>
      </w:r>
      <w:r>
        <w:t xml:space="preserve"> The </w:t>
      </w:r>
      <w:r w:rsidR="00FA4C41">
        <w:t>revised</w:t>
      </w:r>
      <w:r w:rsidR="00FA4C41" w:rsidRPr="009C624B">
        <w:t xml:space="preserve"> draft Supplemental Generic Environmental Impact Statement </w:t>
      </w:r>
      <w:r w:rsidR="00FA4C41">
        <w:t>(</w:t>
      </w:r>
      <w:proofErr w:type="spellStart"/>
      <w:r w:rsidR="00FA4C41">
        <w:t>rd</w:t>
      </w:r>
      <w:r>
        <w:t>SGEIS</w:t>
      </w:r>
      <w:proofErr w:type="spellEnd"/>
      <w:r w:rsidR="00FA4C41">
        <w:t>)</w:t>
      </w:r>
      <w:r>
        <w:t xml:space="preserve"> was released for public comment on September 7, 2011.  On September 28, 2011, the </w:t>
      </w:r>
      <w:r w:rsidR="00FA4C41">
        <w:t>New York State Depa</w:t>
      </w:r>
      <w:r w:rsidR="00F477C6">
        <w:t>r</w:t>
      </w:r>
      <w:r w:rsidR="00FA4C41">
        <w:t xml:space="preserve">tment of </w:t>
      </w:r>
      <w:r w:rsidR="004A14DE">
        <w:t xml:space="preserve">Environmental </w:t>
      </w:r>
      <w:r w:rsidR="00FA4C41">
        <w:t>Conservation (</w:t>
      </w:r>
      <w:r>
        <w:t>Department</w:t>
      </w:r>
      <w:r w:rsidR="00FA4C41">
        <w:t>)</w:t>
      </w:r>
      <w:r>
        <w:t xml:space="preserve"> released for public comment draft regulations concerning high-volume hydraulic fracturing and the SPDES General Permit for </w:t>
      </w:r>
      <w:proofErr w:type="spellStart"/>
      <w:r>
        <w:t>Stormwater</w:t>
      </w:r>
      <w:proofErr w:type="spellEnd"/>
      <w:r>
        <w:t xml:space="preserve"> Discharges from High-Volume Hydraulic Fracturing</w:t>
      </w:r>
      <w:r w:rsidR="004A14DE">
        <w:t xml:space="preserve"> (HVHF General Permit)</w:t>
      </w:r>
      <w:r>
        <w:t xml:space="preserve">.  Public hearings were held concurrently on </w:t>
      </w:r>
      <w:r w:rsidR="002E119C">
        <w:t>all of these documents</w:t>
      </w:r>
      <w:r>
        <w:t xml:space="preserve"> and the combined public comment period was held open until January 11, 2012.  In total, the Department received over 66,000 </w:t>
      </w:r>
      <w:r w:rsidR="00AC5715">
        <w:t xml:space="preserve">individual </w:t>
      </w:r>
      <w:r>
        <w:t>public comments</w:t>
      </w:r>
      <w:r w:rsidR="002E119C">
        <w:t xml:space="preserve"> on these documents, from </w:t>
      </w:r>
      <w:r>
        <w:t>postal mail, electronic submissions, and speakers at public hearings held in 2011.</w:t>
      </w:r>
      <w:r w:rsidR="0039738C">
        <w:t xml:space="preserve"> </w:t>
      </w:r>
    </w:p>
    <w:p w:rsidR="002E119C" w:rsidRDefault="004C4377">
      <w:pPr>
        <w:pStyle w:val="BodyText"/>
        <w:ind w:firstLine="720"/>
      </w:pPr>
      <w:r>
        <w:t xml:space="preserve">The Department </w:t>
      </w:r>
      <w:r w:rsidR="002F03E1">
        <w:t>processed</w:t>
      </w:r>
      <w:r>
        <w:t xml:space="preserve"> every comment and comments received equal consideration</w:t>
      </w:r>
      <w:r w:rsidR="00CC0B23">
        <w:t>.</w:t>
      </w:r>
      <w:r w:rsidR="0010082C">
        <w:t xml:space="preserve">  </w:t>
      </w:r>
      <w:r w:rsidR="00CC0B23">
        <w:t>T</w:t>
      </w:r>
      <w:r>
        <w:t xml:space="preserve">he Department broke down </w:t>
      </w:r>
      <w:r w:rsidR="00CC0B23">
        <w:t xml:space="preserve">comment </w:t>
      </w:r>
      <w:r>
        <w:t>submissions into smaller, more manageable segments.  Similar segments were combined into one consolidated statement.  Therefore, one consolidated statement could represent portions of identical or similar comments received</w:t>
      </w:r>
      <w:r w:rsidR="002E119C">
        <w:t xml:space="preserve"> from </w:t>
      </w:r>
      <w:r w:rsidR="00736C89">
        <w:t>a number of</w:t>
      </w:r>
      <w:r w:rsidR="00C45F03">
        <w:t xml:space="preserve"> </w:t>
      </w:r>
      <w:proofErr w:type="spellStart"/>
      <w:r w:rsidR="00C45F03">
        <w:t>commentors</w:t>
      </w:r>
      <w:proofErr w:type="spellEnd"/>
      <w:r w:rsidR="00C45F03">
        <w:t>.</w:t>
      </w:r>
      <w:r>
        <w:t xml:space="preserve"> </w:t>
      </w:r>
      <w:r w:rsidR="00E54553">
        <w:t>Of the 66,000 comments, t</w:t>
      </w:r>
      <w:r w:rsidR="00950582">
        <w:t xml:space="preserve">here </w:t>
      </w:r>
      <w:r w:rsidR="002E119C">
        <w:t xml:space="preserve">are </w:t>
      </w:r>
      <w:r w:rsidR="00E1064A">
        <w:t xml:space="preserve">more than </w:t>
      </w:r>
      <w:r w:rsidR="00071164">
        <w:t xml:space="preserve">650 </w:t>
      </w:r>
      <w:r w:rsidR="002E119C">
        <w:t xml:space="preserve">consolidated </w:t>
      </w:r>
      <w:r w:rsidR="0010082C">
        <w:t xml:space="preserve">statements </w:t>
      </w:r>
      <w:r w:rsidR="0039738C">
        <w:t>on the draft regulations</w:t>
      </w:r>
      <w:r w:rsidR="00950582">
        <w:t xml:space="preserve"> </w:t>
      </w:r>
      <w:r w:rsidR="002E119C">
        <w:t>to which the Department provided responses</w:t>
      </w:r>
      <w:r>
        <w:t>.</w:t>
      </w:r>
    </w:p>
    <w:p w:rsidR="002E119C" w:rsidRDefault="004C4377">
      <w:pPr>
        <w:pStyle w:val="BodyText"/>
        <w:ind w:firstLine="720"/>
      </w:pPr>
      <w:r>
        <w:t xml:space="preserve">The Department received comments from many diverse groups and individuals including mineral rights owners, </w:t>
      </w:r>
      <w:r w:rsidR="006079EB">
        <w:t xml:space="preserve">federal, </w:t>
      </w:r>
      <w:r>
        <w:t>state and local agencies,</w:t>
      </w:r>
      <w:r w:rsidR="00736C89">
        <w:t xml:space="preserve"> environmental organizations,</w:t>
      </w:r>
      <w:r>
        <w:t xml:space="preserve"> landowner coalitions, industry representatives, </w:t>
      </w:r>
      <w:r w:rsidR="00736C89">
        <w:t xml:space="preserve">and </w:t>
      </w:r>
      <w:r>
        <w:t>legislators</w:t>
      </w:r>
      <w:r w:rsidR="00736C89">
        <w:t>.</w:t>
      </w:r>
      <w:r>
        <w:t xml:space="preserve"> During preparation of the </w:t>
      </w:r>
      <w:r w:rsidR="00F477C6">
        <w:t>proposed revised regulations</w:t>
      </w:r>
      <w:r>
        <w:t>, the Department incorporated suggestions made by the public</w:t>
      </w:r>
      <w:r w:rsidR="00950582">
        <w:t xml:space="preserve"> (both with respect to the proposed regulations</w:t>
      </w:r>
      <w:r w:rsidR="001B276F">
        <w:t xml:space="preserve"> and the 2011 </w:t>
      </w:r>
      <w:proofErr w:type="spellStart"/>
      <w:r w:rsidR="001B276F">
        <w:t>rdSGEIS</w:t>
      </w:r>
      <w:proofErr w:type="spellEnd"/>
      <w:r w:rsidR="00950582">
        <w:t>)</w:t>
      </w:r>
      <w:r w:rsidR="0039738C">
        <w:t>.</w:t>
      </w:r>
      <w:r>
        <w:t xml:space="preserve"> </w:t>
      </w:r>
    </w:p>
    <w:p w:rsidR="00512766" w:rsidRDefault="00950582" w:rsidP="00C45F03">
      <w:pPr>
        <w:spacing w:line="360" w:lineRule="auto"/>
        <w:ind w:firstLine="720"/>
      </w:pPr>
      <w:r w:rsidRPr="005C0BFE">
        <w:t>The Assessment of Public Comment presents and responds to all of the</w:t>
      </w:r>
      <w:r>
        <w:t xml:space="preserve"> </w:t>
      </w:r>
      <w:r w:rsidR="00AE5038">
        <w:t>consolidated</w:t>
      </w:r>
      <w:r w:rsidRPr="005C0BFE">
        <w:t xml:space="preserve"> comments</w:t>
      </w:r>
      <w:r w:rsidR="00AE5038">
        <w:t xml:space="preserve">.  This is a summary of </w:t>
      </w:r>
      <w:r>
        <w:t xml:space="preserve">the </w:t>
      </w:r>
      <w:r w:rsidR="00084919">
        <w:t xml:space="preserve">most </w:t>
      </w:r>
      <w:r w:rsidR="00AE5038">
        <w:t xml:space="preserve">frequent </w:t>
      </w:r>
      <w:r w:rsidRPr="005C0BFE">
        <w:t>comments</w:t>
      </w:r>
      <w:r w:rsidR="00107ED3">
        <w:t xml:space="preserve"> and the Department’s responses</w:t>
      </w:r>
      <w:r w:rsidR="00084919">
        <w:t>.</w:t>
      </w:r>
      <w:r w:rsidR="00084919" w:rsidRPr="005C0BFE" w:rsidDel="00084919">
        <w:t xml:space="preserve"> </w:t>
      </w:r>
      <w:r w:rsidR="00512766">
        <w:t xml:space="preserve">In addition to comments </w:t>
      </w:r>
      <w:r w:rsidR="00107ED3">
        <w:t xml:space="preserve">on </w:t>
      </w:r>
      <w:r w:rsidR="00512766">
        <w:t xml:space="preserve">the proposed regulations, the Department received comments </w:t>
      </w:r>
      <w:r w:rsidR="00107ED3">
        <w:t xml:space="preserve">on </w:t>
      </w:r>
      <w:r w:rsidR="00512766">
        <w:t xml:space="preserve">the </w:t>
      </w:r>
      <w:r w:rsidR="00512766">
        <w:lastRenderedPageBreak/>
        <w:t xml:space="preserve">substance of the regulatory supporting documents.  The Department </w:t>
      </w:r>
      <w:r w:rsidR="000569B7">
        <w:t>provided additional discussion</w:t>
      </w:r>
      <w:r w:rsidR="0039738C">
        <w:t xml:space="preserve"> with respect to estimated costs of the regulations on industry</w:t>
      </w:r>
      <w:r w:rsidR="000569B7">
        <w:t xml:space="preserve"> in the revised Regulatory Impact Statement and </w:t>
      </w:r>
      <w:r w:rsidR="00774759">
        <w:t xml:space="preserve">made changes to the </w:t>
      </w:r>
      <w:r w:rsidR="000569B7">
        <w:t>other revised regulatory documents</w:t>
      </w:r>
      <w:r w:rsidR="00512766">
        <w:t>, where appropriate.</w:t>
      </w:r>
    </w:p>
    <w:p w:rsidR="00C45F03" w:rsidRDefault="00C45F03" w:rsidP="00C45F03">
      <w:pPr>
        <w:spacing w:line="360" w:lineRule="auto"/>
        <w:ind w:firstLine="720"/>
      </w:pPr>
    </w:p>
    <w:p w:rsidR="002E119C" w:rsidRDefault="00C45F03" w:rsidP="00C45F03">
      <w:pPr>
        <w:spacing w:line="360" w:lineRule="auto"/>
      </w:pPr>
      <w:r>
        <w:tab/>
      </w:r>
      <w:r w:rsidR="00F477C6">
        <w:t>With respect to the proposed</w:t>
      </w:r>
      <w:r w:rsidR="00AE5038">
        <w:t xml:space="preserve"> r</w:t>
      </w:r>
      <w:r w:rsidR="00F477C6">
        <w:t xml:space="preserve">egulations at 6 NYCRR 750-3, the majority of comments were submitted on the following topics:  setbacks; wastewater disposal; </w:t>
      </w:r>
      <w:r w:rsidR="00280452">
        <w:t xml:space="preserve">and </w:t>
      </w:r>
      <w:r w:rsidR="00774759">
        <w:t xml:space="preserve">chemical </w:t>
      </w:r>
      <w:r w:rsidR="00F477C6">
        <w:t xml:space="preserve">disclosure and the alternative analysis.  </w:t>
      </w:r>
      <w:r w:rsidR="00B83FEF">
        <w:t xml:space="preserve">The majority of comments received on </w:t>
      </w:r>
      <w:r w:rsidR="00F477C6">
        <w:t xml:space="preserve">the setbacks </w:t>
      </w:r>
      <w:r w:rsidR="00B83FEF">
        <w:t xml:space="preserve">were that the setbacks are not restrictive enough to protect water resources; however, some comments </w:t>
      </w:r>
      <w:r w:rsidR="00D71B77">
        <w:t xml:space="preserve">stated </w:t>
      </w:r>
      <w:r w:rsidR="00B83FEF">
        <w:t>that the setbacks are too conservative.</w:t>
      </w:r>
    </w:p>
    <w:p w:rsidR="00C45F03" w:rsidRDefault="00C45F03" w:rsidP="00C45F03">
      <w:pPr>
        <w:spacing w:line="360" w:lineRule="auto"/>
      </w:pPr>
    </w:p>
    <w:p w:rsidR="002E119C" w:rsidRDefault="00B83FEF" w:rsidP="00C45F03">
      <w:pPr>
        <w:spacing w:line="360" w:lineRule="auto"/>
        <w:ind w:firstLine="720"/>
      </w:pPr>
      <w:r>
        <w:t>S</w:t>
      </w:r>
      <w:r w:rsidR="00F477C6" w:rsidRPr="00D67E9C">
        <w:t xml:space="preserve">etbacks were developed </w:t>
      </w:r>
      <w:r w:rsidR="00E54553">
        <w:t xml:space="preserve">as </w:t>
      </w:r>
      <w:r w:rsidR="00E54553" w:rsidRPr="00D67E9C">
        <w:t xml:space="preserve">an effective risk management tool </w:t>
      </w:r>
      <w:r w:rsidR="00E54553">
        <w:t xml:space="preserve">to </w:t>
      </w:r>
      <w:r w:rsidR="00F477C6" w:rsidRPr="00D67E9C">
        <w:t>pr</w:t>
      </w:r>
      <w:r w:rsidR="00AE5038">
        <w:t xml:space="preserve">otect water resources </w:t>
      </w:r>
      <w:r w:rsidR="00E54553">
        <w:t xml:space="preserve">in the event of a spill. </w:t>
      </w:r>
      <w:r w:rsidR="00F477C6" w:rsidRPr="00D67E9C">
        <w:t xml:space="preserve">In this regard, </w:t>
      </w:r>
      <w:r w:rsidR="00E40B73">
        <w:t xml:space="preserve">each setback </w:t>
      </w:r>
      <w:r w:rsidR="00F477C6" w:rsidRPr="00D67E9C">
        <w:t>reflect</w:t>
      </w:r>
      <w:r w:rsidR="00AE5038">
        <w:t>s</w:t>
      </w:r>
      <w:r w:rsidR="00F477C6" w:rsidRPr="00D67E9C">
        <w:t xml:space="preserve"> the magnitude of the potential risk</w:t>
      </w:r>
      <w:r w:rsidR="00AE5038">
        <w:t xml:space="preserve"> or harm</w:t>
      </w:r>
      <w:r w:rsidR="00F477C6" w:rsidRPr="00D67E9C">
        <w:t xml:space="preserve">. </w:t>
      </w:r>
      <w:r w:rsidR="005754BD">
        <w:t>I</w:t>
      </w:r>
      <w:r w:rsidR="00F477C6" w:rsidRPr="00D67E9C">
        <w:t xml:space="preserve">n </w:t>
      </w:r>
      <w:r w:rsidR="00AE5038">
        <w:t>developing</w:t>
      </w:r>
      <w:r w:rsidR="00F477C6" w:rsidRPr="00D67E9C">
        <w:t xml:space="preserve"> the setbacks</w:t>
      </w:r>
      <w:r w:rsidR="005754BD">
        <w:t>, the Department considered</w:t>
      </w:r>
      <w:r w:rsidR="00F477C6" w:rsidRPr="00D67E9C">
        <w:t xml:space="preserve"> the designated use of the </w:t>
      </w:r>
      <w:r w:rsidR="00736C89">
        <w:t>resource</w:t>
      </w:r>
      <w:r w:rsidR="00F477C6" w:rsidRPr="00D67E9C">
        <w:t>, such as drinking water supply (and in such cases, population served).</w:t>
      </w:r>
    </w:p>
    <w:p w:rsidR="00C45F03" w:rsidRDefault="00C45F03" w:rsidP="00C45F03">
      <w:pPr>
        <w:spacing w:line="360" w:lineRule="auto"/>
        <w:ind w:firstLine="720"/>
      </w:pPr>
    </w:p>
    <w:p w:rsidR="002E119C" w:rsidRDefault="00E54553" w:rsidP="00C45F03">
      <w:pPr>
        <w:spacing w:line="360" w:lineRule="auto"/>
        <w:ind w:firstLine="720"/>
      </w:pPr>
      <w:r>
        <w:t>In addition to setbacks, t</w:t>
      </w:r>
      <w:r w:rsidR="00F477C6" w:rsidRPr="00D67E9C">
        <w:t xml:space="preserve">he </w:t>
      </w:r>
      <w:r w:rsidR="00F477C6">
        <w:t>revised</w:t>
      </w:r>
      <w:r w:rsidR="00F477C6" w:rsidRPr="00D67E9C">
        <w:t xml:space="preserve"> regulations at 6 NYCRR 750-3 and the </w:t>
      </w:r>
      <w:r w:rsidR="00F477C6">
        <w:t xml:space="preserve">draft </w:t>
      </w:r>
      <w:r w:rsidR="00F477C6" w:rsidRPr="00D67E9C">
        <w:t xml:space="preserve">HVHF </w:t>
      </w:r>
      <w:r w:rsidR="00311EC7">
        <w:t>G</w:t>
      </w:r>
      <w:r w:rsidR="00B83FEF">
        <w:t xml:space="preserve">eneral </w:t>
      </w:r>
      <w:r w:rsidR="00311EC7">
        <w:t>P</w:t>
      </w:r>
      <w:r w:rsidR="00B83FEF">
        <w:t>ermit</w:t>
      </w:r>
      <w:r w:rsidR="00F477C6" w:rsidRPr="00D67E9C">
        <w:t xml:space="preserve"> propose measures to prevent spills and releases</w:t>
      </w:r>
      <w:r w:rsidR="006C07C4">
        <w:t xml:space="preserve"> and to contain those that occur</w:t>
      </w:r>
      <w:r w:rsidR="00F477C6" w:rsidRPr="00D67E9C">
        <w:t>.  Specific B</w:t>
      </w:r>
      <w:r w:rsidR="006C07C4">
        <w:t xml:space="preserve">est </w:t>
      </w:r>
      <w:r w:rsidR="00F477C6" w:rsidRPr="00D67E9C">
        <w:t>M</w:t>
      </w:r>
      <w:r w:rsidR="006C07C4">
        <w:t xml:space="preserve">anagement </w:t>
      </w:r>
      <w:r w:rsidR="00F477C6" w:rsidRPr="00D67E9C">
        <w:t>P</w:t>
      </w:r>
      <w:r w:rsidR="006C07C4">
        <w:t>ractice</w:t>
      </w:r>
      <w:r w:rsidR="00F477C6" w:rsidRPr="00D67E9C">
        <w:t xml:space="preserve">s are required for all aspects of high-volume hydraulic fracturing operations (e.g., pit construction and liner specifications; closed-loop systems in certain instances; </w:t>
      </w:r>
      <w:r w:rsidR="001F6DF7">
        <w:t>wastewater storage</w:t>
      </w:r>
      <w:r w:rsidR="00F477C6" w:rsidRPr="00D67E9C">
        <w:t xml:space="preserve">; secondary containment; peripheral berm; </w:t>
      </w:r>
      <w:r w:rsidR="00736C89">
        <w:t xml:space="preserve">and </w:t>
      </w:r>
      <w:r w:rsidR="00F477C6" w:rsidRPr="00D67E9C">
        <w:t>emergency and s</w:t>
      </w:r>
      <w:r w:rsidR="001F6DF7">
        <w:t>pill response plans</w:t>
      </w:r>
      <w:r w:rsidR="00F477C6" w:rsidRPr="00D67E9C">
        <w:t>).</w:t>
      </w:r>
    </w:p>
    <w:p w:rsidR="00C45F03" w:rsidRDefault="00C45F03" w:rsidP="00C45F03">
      <w:pPr>
        <w:spacing w:line="360" w:lineRule="auto"/>
        <w:ind w:firstLine="720"/>
      </w:pPr>
    </w:p>
    <w:p w:rsidR="002E119C" w:rsidRDefault="00B83FEF" w:rsidP="00C45F03">
      <w:pPr>
        <w:spacing w:line="360" w:lineRule="auto"/>
        <w:ind w:firstLine="720"/>
      </w:pPr>
      <w:r>
        <w:t xml:space="preserve">Specific changes from the proposed regulations can be found in the </w:t>
      </w:r>
      <w:r w:rsidRPr="00B83FEF">
        <w:t xml:space="preserve">revised regulations at 6 NYCRR 750-3.3 (prohibitions) and 750-3.11 (ineligible for coverage under a </w:t>
      </w:r>
      <w:proofErr w:type="spellStart"/>
      <w:r w:rsidRPr="00B83FEF">
        <w:t>stormwater</w:t>
      </w:r>
      <w:proofErr w:type="spellEnd"/>
      <w:r w:rsidRPr="00B83FEF">
        <w:t xml:space="preserve"> general permit for HVHF operations, but where an individual SPDES permit and site-specific S</w:t>
      </w:r>
      <w:r w:rsidR="00CF3E6A">
        <w:t xml:space="preserve">tate </w:t>
      </w:r>
      <w:r w:rsidRPr="00B83FEF">
        <w:t>E</w:t>
      </w:r>
      <w:r w:rsidR="00CF3E6A">
        <w:t xml:space="preserve">nvironmental </w:t>
      </w:r>
      <w:r w:rsidRPr="00B83FEF">
        <w:t>Q</w:t>
      </w:r>
      <w:r w:rsidR="00CF3E6A">
        <w:t xml:space="preserve">uality </w:t>
      </w:r>
      <w:r w:rsidR="00A45FA8">
        <w:t>R</w:t>
      </w:r>
      <w:r w:rsidR="00CF3E6A">
        <w:t xml:space="preserve">eview </w:t>
      </w:r>
      <w:r w:rsidRPr="00B83FEF">
        <w:t>A</w:t>
      </w:r>
      <w:r w:rsidR="00CF3E6A">
        <w:t>ct</w:t>
      </w:r>
      <w:r w:rsidRPr="00B83FEF">
        <w:t xml:space="preserve"> review are required).</w:t>
      </w:r>
    </w:p>
    <w:p w:rsidR="00C45F03" w:rsidRDefault="00C45F03" w:rsidP="00C45F03">
      <w:pPr>
        <w:spacing w:line="360" w:lineRule="auto"/>
        <w:ind w:firstLine="720"/>
      </w:pPr>
    </w:p>
    <w:p w:rsidR="002E119C" w:rsidRDefault="00B83FEF" w:rsidP="00C45F03">
      <w:pPr>
        <w:spacing w:line="360" w:lineRule="auto"/>
        <w:ind w:firstLine="720"/>
      </w:pPr>
      <w:r>
        <w:t>The Department als</w:t>
      </w:r>
      <w:r w:rsidR="001F6DF7">
        <w:t xml:space="preserve">o received numerous comments regarding </w:t>
      </w:r>
      <w:r>
        <w:t>the disposal of HVHF wastewater.  The proposed revised regula</w:t>
      </w:r>
      <w:r w:rsidR="001F6DF7">
        <w:t>tions at 6 NYCRR 750-3 require</w:t>
      </w:r>
      <w:r w:rsidRPr="00FF6E2D">
        <w:t xml:space="preserve"> an approvable </w:t>
      </w:r>
      <w:r w:rsidR="00681CAD">
        <w:t xml:space="preserve">Fluid </w:t>
      </w:r>
      <w:r w:rsidR="00681CAD">
        <w:lastRenderedPageBreak/>
        <w:t xml:space="preserve">Disposal Plan </w:t>
      </w:r>
      <w:r w:rsidR="001F6DF7">
        <w:t>that identifies</w:t>
      </w:r>
      <w:r w:rsidRPr="00FF6E2D">
        <w:t xml:space="preserve"> t</w:t>
      </w:r>
      <w:r>
        <w:t xml:space="preserve">he ultimate disposition of </w:t>
      </w:r>
      <w:r w:rsidR="001F6DF7">
        <w:t xml:space="preserve">HVHF </w:t>
      </w:r>
      <w:r w:rsidRPr="00FF6E2D">
        <w:t>wastewater</w:t>
      </w:r>
      <w:r w:rsidR="00681CAD">
        <w:t xml:space="preserve"> and</w:t>
      </w:r>
      <w:r>
        <w:t xml:space="preserve"> contain</w:t>
      </w:r>
      <w:r w:rsidR="00681CAD">
        <w:t>s</w:t>
      </w:r>
      <w:r w:rsidRPr="00FF6E2D">
        <w:t xml:space="preserve"> an acceptable contingency plan for disposition of such fluids.</w:t>
      </w:r>
    </w:p>
    <w:p w:rsidR="00C45F03" w:rsidRDefault="00C45F03" w:rsidP="00C45F03">
      <w:pPr>
        <w:spacing w:line="360" w:lineRule="auto"/>
        <w:ind w:firstLine="720"/>
      </w:pPr>
    </w:p>
    <w:p w:rsidR="002E119C" w:rsidRDefault="00DB7CEE" w:rsidP="00C45F03">
      <w:pPr>
        <w:spacing w:line="360" w:lineRule="auto"/>
        <w:ind w:firstLine="720"/>
      </w:pPr>
      <w:r>
        <w:t>Many c</w:t>
      </w:r>
      <w:r w:rsidR="001F6DF7">
        <w:t xml:space="preserve">omments </w:t>
      </w:r>
      <w:r>
        <w:t xml:space="preserve">related to </w:t>
      </w:r>
      <w:r w:rsidR="00186042">
        <w:t>a Publicly Owned Treatment Works (</w:t>
      </w:r>
      <w:r w:rsidR="00B83FEF">
        <w:t>POTW</w:t>
      </w:r>
      <w:r w:rsidR="00186042">
        <w:t>)</w:t>
      </w:r>
      <w:r w:rsidR="001F6DF7">
        <w:t>, as a disposal option</w:t>
      </w:r>
      <w:r w:rsidR="00186042">
        <w:t xml:space="preserve">.  </w:t>
      </w:r>
      <w:r w:rsidR="00B83FEF">
        <w:t xml:space="preserve"> </w:t>
      </w:r>
      <w:r w:rsidR="00186042">
        <w:t xml:space="preserve">POTWs </w:t>
      </w:r>
      <w:r w:rsidR="00B83FEF">
        <w:t xml:space="preserve">may accept </w:t>
      </w:r>
      <w:r w:rsidR="001F6DF7">
        <w:t xml:space="preserve">HVHF </w:t>
      </w:r>
      <w:r w:rsidR="00B83FEF">
        <w:t xml:space="preserve">wastewater so long as the POTW is in compliance with applicable regulations, </w:t>
      </w:r>
      <w:r w:rsidR="001F6DF7">
        <w:t>including</w:t>
      </w:r>
      <w:r w:rsidR="00B83FEF">
        <w:t xml:space="preserve"> any necessary approvals and permits.  The revised </w:t>
      </w:r>
      <w:r w:rsidR="00B83FEF" w:rsidRPr="000E30CC">
        <w:t xml:space="preserve">regulations at 6 NYCRR 750-3 include requirements for acceptance of this wastewater for disposal </w:t>
      </w:r>
      <w:r w:rsidR="00B83FEF">
        <w:t>at</w:t>
      </w:r>
      <w:r w:rsidR="00B83FEF" w:rsidRPr="000E30CC">
        <w:t xml:space="preserve"> POTWs.  The POTW must have an </w:t>
      </w:r>
      <w:r w:rsidR="00533FE6">
        <w:t>Environmental Protection Agency (</w:t>
      </w:r>
      <w:r w:rsidR="00B83FEF" w:rsidRPr="000E30CC">
        <w:t>EPA</w:t>
      </w:r>
      <w:r w:rsidR="00533FE6">
        <w:t>)</w:t>
      </w:r>
      <w:r w:rsidR="00B83FEF" w:rsidRPr="000E30CC">
        <w:t xml:space="preserve"> or </w:t>
      </w:r>
      <w:r w:rsidR="00F2172E">
        <w:t>Department</w:t>
      </w:r>
      <w:r w:rsidR="00B83FEF" w:rsidRPr="000E30CC">
        <w:t xml:space="preserve"> approved pretreatment program </w:t>
      </w:r>
      <w:r w:rsidR="00E54553">
        <w:t xml:space="preserve">and must </w:t>
      </w:r>
      <w:r w:rsidR="00E54553" w:rsidRPr="000E30CC">
        <w:t>conduct a </w:t>
      </w:r>
      <w:proofErr w:type="spellStart"/>
      <w:r w:rsidR="00E54553" w:rsidRPr="000E30CC">
        <w:t>headworks</w:t>
      </w:r>
      <w:proofErr w:type="spellEnd"/>
      <w:r w:rsidR="00E54553" w:rsidRPr="000E30CC">
        <w:t xml:space="preserve"> analysis</w:t>
      </w:r>
      <w:r w:rsidR="00E54553">
        <w:t xml:space="preserve"> and receive approval </w:t>
      </w:r>
      <w:r w:rsidR="00B83FEF" w:rsidRPr="000E30CC">
        <w:t xml:space="preserve">prior to applying to accept </w:t>
      </w:r>
      <w:r w:rsidR="001F6DF7">
        <w:t>HVHF</w:t>
      </w:r>
      <w:r w:rsidR="00B83FEF" w:rsidRPr="000E30CC">
        <w:t xml:space="preserve"> wastewater.  The </w:t>
      </w:r>
      <w:proofErr w:type="spellStart"/>
      <w:r w:rsidR="00B83FEF" w:rsidRPr="000E30CC">
        <w:t>headworks</w:t>
      </w:r>
      <w:proofErr w:type="spellEnd"/>
      <w:r w:rsidR="00B83FEF" w:rsidRPr="000E30CC">
        <w:t xml:space="preserve"> analysis evaluates the pollutants present in the wastewater against the capabilities of the treatment system and assesses any potential adverse impacts to a treatment system process</w:t>
      </w:r>
      <w:r w:rsidR="0010082C">
        <w:t xml:space="preserve"> and the receiving </w:t>
      </w:r>
      <w:proofErr w:type="spellStart"/>
      <w:r w:rsidR="0010082C">
        <w:t>waterbody</w:t>
      </w:r>
      <w:proofErr w:type="spellEnd"/>
      <w:r w:rsidR="00B83FEF" w:rsidRPr="000E30CC">
        <w:t xml:space="preserve">.  All </w:t>
      </w:r>
      <w:r w:rsidR="00AF2D0D">
        <w:t>State Pollutant Discharge Elimination System (</w:t>
      </w:r>
      <w:r w:rsidR="00B83FEF" w:rsidRPr="000E30CC">
        <w:t>SPDES</w:t>
      </w:r>
      <w:r w:rsidR="00AF2D0D">
        <w:t>)</w:t>
      </w:r>
      <w:r w:rsidR="00B83FEF" w:rsidRPr="000E30CC">
        <w:t xml:space="preserve"> permits require periodic monitoring to ensure compliance with applicable limits to ensure water quality standards are met.  </w:t>
      </w:r>
      <w:r w:rsidR="00186042">
        <w:t>A similar demonstrable showing is required for other HVHF wastewater disposal options in New York State (e.g. privately owned industrial treatment facilities; deep well injection).</w:t>
      </w:r>
    </w:p>
    <w:p w:rsidR="00C45F03" w:rsidRDefault="00C45F03" w:rsidP="00C45F03">
      <w:pPr>
        <w:spacing w:line="360" w:lineRule="auto"/>
        <w:ind w:firstLine="720"/>
      </w:pPr>
    </w:p>
    <w:p w:rsidR="00186042" w:rsidRDefault="00186042" w:rsidP="00C45F03">
      <w:pPr>
        <w:spacing w:line="360" w:lineRule="auto"/>
        <w:ind w:firstLine="720"/>
      </w:pPr>
      <w:r>
        <w:t xml:space="preserve">Comments were also received on the requirements for disclosure of chemical additives and the alternatives analysis.  The analysis must </w:t>
      </w:r>
      <w:r w:rsidRPr="00CA278D">
        <w:t xml:space="preserve">include documentation to the </w:t>
      </w:r>
      <w:r w:rsidR="0013417B">
        <w:t>D</w:t>
      </w:r>
      <w:r w:rsidRPr="00CA278D">
        <w:t xml:space="preserve">epartment’s satisfaction that proposed </w:t>
      </w:r>
      <w:r w:rsidR="0010082C">
        <w:t>alternatives</w:t>
      </w:r>
      <w:r w:rsidRPr="00CA278D">
        <w:t xml:space="preserve"> exhibit reduced aquatic toxicity and pose a</w:t>
      </w:r>
      <w:r w:rsidR="00E54553">
        <w:t>t least s</w:t>
      </w:r>
      <w:r w:rsidRPr="00CA278D">
        <w:t xml:space="preserve"> low</w:t>
      </w:r>
      <w:r w:rsidR="00E54553">
        <w:t xml:space="preserve"> a</w:t>
      </w:r>
      <w:r w:rsidRPr="00CA278D">
        <w:t xml:space="preserve"> potential risk to water resources and the environment </w:t>
      </w:r>
      <w:r w:rsidR="00736C89">
        <w:t>as</w:t>
      </w:r>
      <w:r w:rsidR="00736C89" w:rsidRPr="00CA278D">
        <w:t xml:space="preserve"> </w:t>
      </w:r>
      <w:r w:rsidR="0010082C">
        <w:t xml:space="preserve">all known </w:t>
      </w:r>
      <w:r w:rsidRPr="00CA278D">
        <w:t>available alternatives</w:t>
      </w:r>
      <w:r w:rsidR="00E54553">
        <w:t>.</w:t>
      </w:r>
      <w:r w:rsidRPr="00CA278D">
        <w:t xml:space="preserve"> </w:t>
      </w:r>
      <w:r>
        <w:t xml:space="preserve">The Department </w:t>
      </w:r>
      <w:r w:rsidR="00E023F2">
        <w:t>intends to provide</w:t>
      </w:r>
      <w:r>
        <w:t xml:space="preserve"> further guidance regarding the specifics of the alternatives analysis.  Also, t</w:t>
      </w:r>
      <w:r w:rsidRPr="00186042">
        <w:t>he revised regulations at 6 NYCRR 750-3 require that the owner or operator maintain a list</w:t>
      </w:r>
      <w:r w:rsidR="00E023F2">
        <w:t>, at the well site,</w:t>
      </w:r>
      <w:r w:rsidRPr="00186042">
        <w:t xml:space="preserve"> of the chemical a</w:t>
      </w:r>
      <w:r>
        <w:t>dditives used</w:t>
      </w:r>
      <w:r w:rsidRPr="00186042">
        <w:t xml:space="preserve">. All documents submitted to the Department </w:t>
      </w:r>
      <w:r w:rsidR="00E023F2">
        <w:t>would be available to the pu</w:t>
      </w:r>
      <w:r w:rsidR="000E2DB6">
        <w:t>blic, subject to exceptions in</w:t>
      </w:r>
      <w:r w:rsidR="00E023F2">
        <w:t xml:space="preserve"> the Freedom of Information Law.</w:t>
      </w:r>
    </w:p>
    <w:p w:rsidR="00C45F03" w:rsidRDefault="00C45F03" w:rsidP="00C45F03">
      <w:pPr>
        <w:spacing w:line="360" w:lineRule="auto"/>
        <w:ind w:firstLine="720"/>
      </w:pPr>
    </w:p>
    <w:p w:rsidR="00A17AA7" w:rsidRDefault="00A17AA7" w:rsidP="00C45F03">
      <w:pPr>
        <w:spacing w:line="360" w:lineRule="auto"/>
        <w:ind w:firstLine="720"/>
      </w:pPr>
      <w:r>
        <w:t>With respect to the proposed regulations at 6 NYCRR 52 and 190</w:t>
      </w:r>
      <w:r w:rsidR="00BE09A2">
        <w:t>,</w:t>
      </w:r>
      <w:r>
        <w:t xml:space="preserve"> the majority of comments sought an expansion of the prohibition from Department administered </w:t>
      </w:r>
      <w:r w:rsidR="00630D8B">
        <w:t>S</w:t>
      </w:r>
      <w:r>
        <w:t>tate-owned lands to all public lands</w:t>
      </w:r>
      <w:r w:rsidR="004E4E5B">
        <w:t>,</w:t>
      </w:r>
      <w:r>
        <w:t xml:space="preserve">  a prohibition of pipelines on </w:t>
      </w:r>
      <w:r w:rsidR="00630D8B">
        <w:t>S</w:t>
      </w:r>
      <w:r>
        <w:t>tate-owned lands</w:t>
      </w:r>
      <w:r w:rsidR="000028DE">
        <w:t>.</w:t>
      </w:r>
      <w:r>
        <w:t xml:space="preserve"> a prohibition of subsurface access</w:t>
      </w:r>
      <w:r w:rsidR="000028DE">
        <w:t>,</w:t>
      </w:r>
      <w:r>
        <w:t xml:space="preserve"> </w:t>
      </w:r>
      <w:r w:rsidR="000028DE">
        <w:t>or</w:t>
      </w:r>
      <w:r>
        <w:t xml:space="preserve"> a prohibition of drilling on private lands adjacent to </w:t>
      </w:r>
      <w:r w:rsidR="00630D8B">
        <w:t>S</w:t>
      </w:r>
      <w:r>
        <w:t xml:space="preserve">tate-owned lands.  </w:t>
      </w:r>
      <w:r>
        <w:lastRenderedPageBreak/>
        <w:t>The Department receive</w:t>
      </w:r>
      <w:r w:rsidR="000028DE">
        <w:t>d</w:t>
      </w:r>
      <w:r>
        <w:t xml:space="preserve"> some comments opposed to the prohibition </w:t>
      </w:r>
      <w:r w:rsidR="000028DE">
        <w:t xml:space="preserve">on </w:t>
      </w:r>
      <w:r>
        <w:t>surface disturbances associated with high</w:t>
      </w:r>
      <w:r w:rsidR="000028DE">
        <w:t>-</w:t>
      </w:r>
      <w:r>
        <w:t xml:space="preserve">volume hydraulic fracturing on </w:t>
      </w:r>
      <w:r w:rsidR="000028DE">
        <w:t>S</w:t>
      </w:r>
      <w:r>
        <w:t>tate-owned lands.</w:t>
      </w:r>
    </w:p>
    <w:p w:rsidR="00C45F03" w:rsidRDefault="00C45F03" w:rsidP="00C45F03">
      <w:pPr>
        <w:spacing w:line="360" w:lineRule="auto"/>
        <w:ind w:firstLine="720"/>
      </w:pPr>
    </w:p>
    <w:p w:rsidR="00A17AA7" w:rsidRDefault="00A17AA7" w:rsidP="00C45F03">
      <w:pPr>
        <w:spacing w:line="360" w:lineRule="auto"/>
        <w:ind w:firstLine="720"/>
      </w:pPr>
      <w:r>
        <w:t xml:space="preserve">With respect to Department administered state-owned lands, the proposed </w:t>
      </w:r>
      <w:r w:rsidRPr="00A17AA7">
        <w:t xml:space="preserve">regulatory prohibition on surface disturbances associated with high-volume hydraulic fracturing on </w:t>
      </w:r>
      <w:r>
        <w:t xml:space="preserve">these lands </w:t>
      </w:r>
      <w:r w:rsidRPr="00A17AA7">
        <w:t>is based</w:t>
      </w:r>
      <w:r w:rsidR="00BE09A2">
        <w:t>,</w:t>
      </w:r>
      <w:r w:rsidRPr="00A17AA7">
        <w:t xml:space="preserve"> in part</w:t>
      </w:r>
      <w:r w:rsidR="00BE09A2">
        <w:t>,</w:t>
      </w:r>
      <w:r w:rsidRPr="00A17AA7">
        <w:t xml:space="preserve"> upon the unique legislative </w:t>
      </w:r>
      <w:r w:rsidR="00A349B7">
        <w:t xml:space="preserve">protections </w:t>
      </w:r>
      <w:r w:rsidRPr="00A17AA7">
        <w:t>and legal constraints apply</w:t>
      </w:r>
      <w:r w:rsidR="00A000EE">
        <w:t>ing</w:t>
      </w:r>
      <w:r w:rsidRPr="00A17AA7">
        <w:t xml:space="preserve"> to these lands.</w:t>
      </w:r>
      <w:r>
        <w:t xml:space="preserve"> </w:t>
      </w:r>
      <w:r w:rsidR="00393BD1">
        <w:t xml:space="preserve"> T</w:t>
      </w:r>
      <w:r>
        <w:t xml:space="preserve">his prohibition was not extended to adjacent private lands because these lands are not subject to the same legal and legislative </w:t>
      </w:r>
      <w:r w:rsidR="00A349B7">
        <w:t>constraints</w:t>
      </w:r>
      <w:r w:rsidR="00897FEA">
        <w:t xml:space="preserve">. </w:t>
      </w:r>
      <w:r>
        <w:t xml:space="preserve">Similarly, the </w:t>
      </w:r>
      <w:r w:rsidR="00ED2CC9">
        <w:t>Department did not prohibit sub</w:t>
      </w:r>
      <w:r>
        <w:t xml:space="preserve">surface access from adjacent private lands because </w:t>
      </w:r>
      <w:r w:rsidR="00ED2CC9" w:rsidRPr="00650F73">
        <w:t xml:space="preserve">subsurface access to mineral resources underneath State lands </w:t>
      </w:r>
      <w:r w:rsidR="00ED2CC9">
        <w:t xml:space="preserve">would not be inconsistent with the </w:t>
      </w:r>
      <w:r w:rsidR="00ED2CC9" w:rsidRPr="00764E55">
        <w:t xml:space="preserve">purposes for which </w:t>
      </w:r>
      <w:r w:rsidR="00ED2CC9">
        <w:t xml:space="preserve">these State lands </w:t>
      </w:r>
      <w:r w:rsidR="00ED2CC9" w:rsidRPr="00764E55">
        <w:t>were acquired</w:t>
      </w:r>
      <w:r w:rsidR="00ED2CC9" w:rsidRPr="00650F73">
        <w:t>.</w:t>
      </w:r>
      <w:r w:rsidR="00897FEA">
        <w:t xml:space="preserve"> </w:t>
      </w:r>
      <w:r w:rsidR="00897FEA" w:rsidRPr="00A17AA7">
        <w:t>The Department determined that government entities having jurisdiction over other publicly-owned lands should decide whether to prohibit high-volume hydraulic fracturing on the surface of those lands</w:t>
      </w:r>
      <w:r w:rsidR="00897FEA">
        <w:t>.</w:t>
      </w:r>
    </w:p>
    <w:p w:rsidR="00C45F03" w:rsidRDefault="00C45F03" w:rsidP="00C45F03">
      <w:pPr>
        <w:spacing w:line="360" w:lineRule="auto"/>
        <w:ind w:firstLine="720"/>
      </w:pPr>
    </w:p>
    <w:p w:rsidR="00A17AA7" w:rsidRDefault="00A17AA7" w:rsidP="00C45F03">
      <w:pPr>
        <w:spacing w:line="360" w:lineRule="auto"/>
        <w:ind w:firstLine="720"/>
      </w:pPr>
      <w:r>
        <w:t xml:space="preserve">Finally, with respect to pipelines, the Department does not believe that a prohibition is necessary to ensure that State-owned lands are managed consistent </w:t>
      </w:r>
      <w:r w:rsidR="00286F71">
        <w:t xml:space="preserve">with the </w:t>
      </w:r>
      <w:r>
        <w:t xml:space="preserve">purposes for which they were acquired.  </w:t>
      </w:r>
      <w:r w:rsidR="00FD2C81">
        <w:t>P</w:t>
      </w:r>
      <w:r w:rsidRPr="004545B3">
        <w:t>ipelines w</w:t>
      </w:r>
      <w:r w:rsidR="00E54553">
        <w:t>ould</w:t>
      </w:r>
      <w:r w:rsidRPr="004545B3">
        <w:t xml:space="preserve"> be permitted on State-owned lands only if certain provisions of the ECL are met, and in compliance with an approved Unit Management Plan.</w:t>
      </w:r>
    </w:p>
    <w:p w:rsidR="00C45F03" w:rsidRPr="00186042" w:rsidRDefault="00C45F03" w:rsidP="00C45F03">
      <w:pPr>
        <w:spacing w:line="360" w:lineRule="auto"/>
        <w:ind w:firstLine="720"/>
      </w:pPr>
    </w:p>
    <w:p w:rsidR="00E67489" w:rsidRDefault="00E54553" w:rsidP="00C45F03">
      <w:pPr>
        <w:spacing w:line="360" w:lineRule="auto"/>
        <w:ind w:firstLine="720"/>
      </w:pPr>
      <w:r>
        <w:t>With respect to the</w:t>
      </w:r>
      <w:r w:rsidR="00E67489">
        <w:t xml:space="preserve"> proposed rulemaking at 6 NYCRR </w:t>
      </w:r>
      <w:r w:rsidR="002E523B">
        <w:t>550-556 and 560</w:t>
      </w:r>
      <w:r w:rsidR="00897FEA">
        <w:t xml:space="preserve">, </w:t>
      </w:r>
      <w:r>
        <w:t>t</w:t>
      </w:r>
      <w:r w:rsidR="00E67489" w:rsidRPr="00205EF4">
        <w:t>he comments received contained critiques from various stakeholders, some stating that the regulations went too far in regulating the proposed activity of</w:t>
      </w:r>
      <w:r w:rsidR="00B95D20">
        <w:t xml:space="preserve"> </w:t>
      </w:r>
      <w:r w:rsidR="0039738C">
        <w:t>high-volume hydraulic fracturing</w:t>
      </w:r>
      <w:r w:rsidR="00E67489">
        <w:t>, while others stat</w:t>
      </w:r>
      <w:r w:rsidR="00B95D20">
        <w:t>e</w:t>
      </w:r>
      <w:r w:rsidR="00E1342C">
        <w:t>d</w:t>
      </w:r>
      <w:r w:rsidR="00E67489">
        <w:t xml:space="preserve"> the proposed rules </w:t>
      </w:r>
      <w:r w:rsidR="00B95D20">
        <w:t>are</w:t>
      </w:r>
      <w:r w:rsidR="00E67489">
        <w:t xml:space="preserve"> too permissive. </w:t>
      </w:r>
      <w:r w:rsidR="00897FEA">
        <w:t>Some of these comments necessitated revisions to the proposed rules, but the majority did not.</w:t>
      </w:r>
    </w:p>
    <w:p w:rsidR="00C45F03" w:rsidRDefault="00C45F03" w:rsidP="00C45F03">
      <w:pPr>
        <w:spacing w:line="360" w:lineRule="auto"/>
        <w:ind w:firstLine="720"/>
      </w:pPr>
    </w:p>
    <w:p w:rsidR="00D24549" w:rsidRDefault="00E67489" w:rsidP="00C45F03">
      <w:pPr>
        <w:pStyle w:val="ListParagraph"/>
        <w:spacing w:line="360" w:lineRule="auto"/>
        <w:ind w:left="0" w:firstLine="720"/>
      </w:pPr>
      <w:r>
        <w:t>Several of the comments on Part 550 expressed concern over the Department’s ability to enforce its regulations</w:t>
      </w:r>
      <w:r w:rsidR="00897FEA">
        <w:t>. T</w:t>
      </w:r>
      <w:r w:rsidR="00E54553">
        <w:t>he Department believes that there are ample existing legal mechanisms available to the Department to enforce the proposed regulatory requirements.</w:t>
      </w:r>
    </w:p>
    <w:p w:rsidR="00C45F03" w:rsidRDefault="00C45F03" w:rsidP="00C45F03">
      <w:pPr>
        <w:pStyle w:val="ListParagraph"/>
        <w:spacing w:line="360" w:lineRule="auto"/>
        <w:ind w:left="0" w:firstLine="720"/>
      </w:pPr>
    </w:p>
    <w:p w:rsidR="00C45F03" w:rsidRDefault="00C45F03" w:rsidP="00C45F03">
      <w:pPr>
        <w:pStyle w:val="ListParagraph"/>
        <w:spacing w:line="360" w:lineRule="auto"/>
        <w:ind w:left="0"/>
      </w:pPr>
      <w:r>
        <w:tab/>
      </w:r>
      <w:r w:rsidR="00E54553">
        <w:t>Some comments</w:t>
      </w:r>
      <w:r w:rsidR="00D24549">
        <w:t xml:space="preserve"> </w:t>
      </w:r>
      <w:r w:rsidR="00E54553">
        <w:t xml:space="preserve">on Part 551 </w:t>
      </w:r>
      <w:r w:rsidR="00E67489">
        <w:t>expressed concern over the financial security requirements related to plugging of wells and abandonment</w:t>
      </w:r>
      <w:r>
        <w:t xml:space="preserve"> of well sites. Several </w:t>
      </w:r>
      <w:proofErr w:type="spellStart"/>
      <w:r>
        <w:t>comment</w:t>
      </w:r>
      <w:r w:rsidR="00DB4569">
        <w:t>o</w:t>
      </w:r>
      <w:r w:rsidR="00E67489">
        <w:t>rs</w:t>
      </w:r>
      <w:proofErr w:type="spellEnd"/>
      <w:r w:rsidR="00E67489">
        <w:t xml:space="preserve"> expressed </w:t>
      </w:r>
      <w:r w:rsidR="00E67489">
        <w:lastRenderedPageBreak/>
        <w:t>concern over the removal of the $2</w:t>
      </w:r>
      <w:r w:rsidR="0010082C">
        <w:t xml:space="preserve"> </w:t>
      </w:r>
      <w:r w:rsidR="00E67489">
        <w:t>M</w:t>
      </w:r>
      <w:r w:rsidR="001F4BED">
        <w:t>illion cap on financial security</w:t>
      </w:r>
      <w:r w:rsidR="00E67489">
        <w:t>, and others expressed concern that financial security should cover more activities (clean up, contingency) than plugging and abandonment</w:t>
      </w:r>
      <w:r w:rsidR="001F4BED">
        <w:t>.</w:t>
      </w:r>
      <w:r w:rsidR="00DB4569">
        <w:t xml:space="preserve"> </w:t>
      </w:r>
      <w:r w:rsidR="0039738C">
        <w:t xml:space="preserve"> </w:t>
      </w:r>
      <w:r w:rsidR="00E54553">
        <w:t xml:space="preserve">The proposed </w:t>
      </w:r>
      <w:r w:rsidR="00F537AD">
        <w:t xml:space="preserve">revised </w:t>
      </w:r>
      <w:r w:rsidR="00E54553">
        <w:t xml:space="preserve">regulations </w:t>
      </w:r>
      <w:r w:rsidR="00F537AD">
        <w:t>allow for the plugging of wells without predetermination of the associated costs, creating flexibility for the Department to capture the true potential costs.</w:t>
      </w:r>
    </w:p>
    <w:p w:rsidR="00C45F03" w:rsidRDefault="00C45F03" w:rsidP="00C45F03">
      <w:pPr>
        <w:pStyle w:val="ListParagraph"/>
        <w:spacing w:line="360" w:lineRule="auto"/>
        <w:ind w:left="0"/>
      </w:pPr>
    </w:p>
    <w:p w:rsidR="00C45F03" w:rsidRDefault="0039738C" w:rsidP="00C45F03">
      <w:pPr>
        <w:pStyle w:val="ListParagraph"/>
        <w:spacing w:line="360" w:lineRule="auto"/>
        <w:ind w:left="0" w:firstLine="720"/>
      </w:pPr>
      <w:r>
        <w:t xml:space="preserve">A few comments suggested severance taxes or other fees, but these revisions are beyond the </w:t>
      </w:r>
      <w:r w:rsidR="00D24549">
        <w:t xml:space="preserve">Department’s </w:t>
      </w:r>
      <w:r>
        <w:t>authority and would require legislative action.</w:t>
      </w:r>
    </w:p>
    <w:p w:rsidR="00C45F03" w:rsidRDefault="00C45F03" w:rsidP="00C45F03">
      <w:pPr>
        <w:pStyle w:val="ListParagraph"/>
        <w:spacing w:line="360" w:lineRule="auto"/>
        <w:ind w:left="0" w:firstLine="720"/>
      </w:pPr>
    </w:p>
    <w:p w:rsidR="00C45F03" w:rsidRDefault="0039738C" w:rsidP="00C45F03">
      <w:pPr>
        <w:pStyle w:val="ListParagraph"/>
        <w:spacing w:line="360" w:lineRule="auto"/>
        <w:ind w:left="0" w:firstLine="720"/>
      </w:pPr>
      <w:r>
        <w:t xml:space="preserve">Several of the comments </w:t>
      </w:r>
      <w:r w:rsidR="00E54553">
        <w:t>on Part 552</w:t>
      </w:r>
      <w:r w:rsidR="0010082C">
        <w:t xml:space="preserve"> </w:t>
      </w:r>
      <w:r>
        <w:t>expressed var</w:t>
      </w:r>
      <w:r w:rsidR="00A530DF">
        <w:t>ied</w:t>
      </w:r>
      <w:r>
        <w:t xml:space="preserve"> opinions regarding extending </w:t>
      </w:r>
      <w:r w:rsidR="007030F4">
        <w:t xml:space="preserve">the permit period </w:t>
      </w:r>
      <w:r>
        <w:t xml:space="preserve">to two years. </w:t>
      </w:r>
      <w:r w:rsidR="00DB4569">
        <w:t xml:space="preserve"> </w:t>
      </w:r>
      <w:r>
        <w:t>The Department believe</w:t>
      </w:r>
      <w:r w:rsidR="00E54553">
        <w:t>s</w:t>
      </w:r>
      <w:r>
        <w:t xml:space="preserve"> the proposed extension is warranted</w:t>
      </w:r>
      <w:r w:rsidR="00E54553">
        <w:t xml:space="preserve"> because the complexity of permi</w:t>
      </w:r>
      <w:r w:rsidR="00F537AD">
        <w:t>t</w:t>
      </w:r>
      <w:r w:rsidR="00E54553">
        <w:t>ting a high</w:t>
      </w:r>
      <w:r w:rsidR="00F57F22">
        <w:t>-</w:t>
      </w:r>
      <w:r w:rsidR="00E54553">
        <w:t>volume hydraulic</w:t>
      </w:r>
      <w:r w:rsidR="00F57F22">
        <w:t>ally</w:t>
      </w:r>
      <w:r w:rsidR="00E54553">
        <w:t xml:space="preserve"> fractured well makes the</w:t>
      </w:r>
      <w:r w:rsidR="00F57F22">
        <w:t xml:space="preserve"> 180 day</w:t>
      </w:r>
      <w:r w:rsidR="00E54553">
        <w:t xml:space="preserve"> time period unmanag</w:t>
      </w:r>
      <w:r w:rsidR="00F537AD">
        <w:t>e</w:t>
      </w:r>
      <w:r w:rsidR="00E54553">
        <w:t>able</w:t>
      </w:r>
      <w:r>
        <w:t xml:space="preserve">.  </w:t>
      </w:r>
      <w:r w:rsidR="00E54553">
        <w:t>C</w:t>
      </w:r>
      <w:r>
        <w:t xml:space="preserve">omments on this Part </w:t>
      </w:r>
      <w:r w:rsidR="00E54553">
        <w:t xml:space="preserve">also </w:t>
      </w:r>
      <w:r>
        <w:t xml:space="preserve">questioned the provision for verbal authorization of emergency operations, </w:t>
      </w:r>
      <w:r w:rsidR="00E54553">
        <w:t xml:space="preserve">however, the </w:t>
      </w:r>
      <w:r>
        <w:t xml:space="preserve">Department </w:t>
      </w:r>
      <w:r w:rsidR="00E54553">
        <w:t>believe</w:t>
      </w:r>
      <w:r w:rsidR="00F537AD">
        <w:t>s</w:t>
      </w:r>
      <w:r w:rsidR="00E54553">
        <w:t xml:space="preserve"> this provision</w:t>
      </w:r>
      <w:r>
        <w:t xml:space="preserve"> is necessary to allow rapid responses to unexpected or non-routine situations that could impact public health and safety and the environment.  Comments also focused on the details of what should be included in a well permit application, and in some cases suggested that requirements specific to high-volume hydraulic fracturing should apply to all wells</w:t>
      </w:r>
      <w:r w:rsidR="00B16930">
        <w:t xml:space="preserve">. </w:t>
      </w:r>
      <w:r w:rsidR="007E70E8">
        <w:t xml:space="preserve"> </w:t>
      </w:r>
      <w:r w:rsidR="00B16930">
        <w:t>T</w:t>
      </w:r>
      <w:r>
        <w:t>he potential impacts of other wells are effectively addressed by existing regulations and permit conditions.</w:t>
      </w:r>
    </w:p>
    <w:p w:rsidR="00C45F03" w:rsidRDefault="00C45F03" w:rsidP="00C45F03">
      <w:pPr>
        <w:pStyle w:val="ListParagraph"/>
        <w:spacing w:line="360" w:lineRule="auto"/>
        <w:ind w:left="0" w:firstLine="720"/>
      </w:pPr>
    </w:p>
    <w:p w:rsidR="00C45F03" w:rsidRDefault="00B16930" w:rsidP="00C45F03">
      <w:pPr>
        <w:pStyle w:val="ListParagraph"/>
        <w:spacing w:line="360" w:lineRule="auto"/>
        <w:ind w:left="0" w:firstLine="720"/>
      </w:pPr>
      <w:r>
        <w:t>M</w:t>
      </w:r>
      <w:r w:rsidR="00E67489">
        <w:t xml:space="preserve">any of the comments on Part </w:t>
      </w:r>
      <w:r>
        <w:t xml:space="preserve">553 </w:t>
      </w:r>
      <w:r w:rsidR="00E67489">
        <w:t>expressed concern that the spacing units referenced in the proposed regulations were too small</w:t>
      </w:r>
      <w:r w:rsidR="00F57F22">
        <w:t xml:space="preserve"> and</w:t>
      </w:r>
      <w:r w:rsidR="00E67489">
        <w:t xml:space="preserve"> may result in </w:t>
      </w:r>
      <w:r w:rsidR="005869B0">
        <w:t xml:space="preserve">concentrating </w:t>
      </w:r>
      <w:r w:rsidR="00E67489">
        <w:t>more well pads over the landscape and increas</w:t>
      </w:r>
      <w:r w:rsidR="00F57F22">
        <w:t>ing the</w:t>
      </w:r>
      <w:r w:rsidR="00E67489">
        <w:t xml:space="preserve"> potential for habitat fragmentation.</w:t>
      </w:r>
      <w:r w:rsidR="007E70E8">
        <w:t xml:space="preserve"> </w:t>
      </w:r>
      <w:r w:rsidR="00E67489">
        <w:t xml:space="preserve"> </w:t>
      </w:r>
      <w:r w:rsidR="005869B0">
        <w:t>S</w:t>
      </w:r>
      <w:r w:rsidR="0039738C">
        <w:t xml:space="preserve">pacing unit size is </w:t>
      </w:r>
      <w:r w:rsidR="00E54553">
        <w:t>constrained</w:t>
      </w:r>
      <w:r w:rsidR="0039738C">
        <w:t xml:space="preserve"> by statute.  Other comments addressed proposed variance provisions </w:t>
      </w:r>
      <w:r w:rsidR="00F57F22">
        <w:t>or</w:t>
      </w:r>
      <w:r w:rsidR="0039738C">
        <w:t xml:space="preserve"> compulsory integration (the latter of which is prescribed by statute and beyond the scope of this proposed rulemaking).</w:t>
      </w:r>
    </w:p>
    <w:p w:rsidR="00C45F03" w:rsidRDefault="00C45F03" w:rsidP="00C45F03">
      <w:pPr>
        <w:pStyle w:val="ListParagraph"/>
        <w:spacing w:line="360" w:lineRule="auto"/>
        <w:ind w:left="0" w:firstLine="720"/>
      </w:pPr>
    </w:p>
    <w:p w:rsidR="00C45F03" w:rsidRDefault="00E67489" w:rsidP="00C45F03">
      <w:pPr>
        <w:pStyle w:val="ListParagraph"/>
        <w:spacing w:line="360" w:lineRule="auto"/>
        <w:ind w:left="0" w:firstLine="720"/>
      </w:pPr>
      <w:r>
        <w:t xml:space="preserve">Many comments </w:t>
      </w:r>
      <w:r w:rsidR="005869B0">
        <w:t xml:space="preserve">on Part 554 </w:t>
      </w:r>
      <w:r>
        <w:t>expressed concern over the potential for improper disposal</w:t>
      </w:r>
      <w:r w:rsidR="009E51BB">
        <w:t xml:space="preserve"> of waste fluids and solids</w:t>
      </w:r>
      <w:r>
        <w:t>.</w:t>
      </w:r>
      <w:r w:rsidR="0039738C">
        <w:t xml:space="preserve"> </w:t>
      </w:r>
      <w:r w:rsidR="00E54553">
        <w:t>In addition to the requirements set forth in the proposed regulations, the r</w:t>
      </w:r>
      <w:r w:rsidR="0039738C">
        <w:t>evis</w:t>
      </w:r>
      <w:r w:rsidR="00E54553">
        <w:t>ed rulemaking</w:t>
      </w:r>
      <w:r w:rsidR="0039738C">
        <w:t xml:space="preserve"> include</w:t>
      </w:r>
      <w:r w:rsidR="00E54553">
        <w:t>s</w:t>
      </w:r>
      <w:r w:rsidR="0039738C">
        <w:t xml:space="preserve"> a requirement that the owner or operator state in its fluid disposal plan that it will maximize the reuse and/or recycling of used drilling mud, flowback </w:t>
      </w:r>
      <w:r w:rsidR="0039738C">
        <w:lastRenderedPageBreak/>
        <w:t xml:space="preserve">water and production brine to the maximum extent feasible.  </w:t>
      </w:r>
      <w:r w:rsidR="00E54553">
        <w:t>Furthermore, s</w:t>
      </w:r>
      <w:r w:rsidR="0039738C">
        <w:t>ome record-keeping requirements set forth in Part 554 have been enhanced in the</w:t>
      </w:r>
      <w:r w:rsidR="001C6A77">
        <w:t xml:space="preserve"> </w:t>
      </w:r>
      <w:r w:rsidR="00C03E5B">
        <w:t>revised rulemaking</w:t>
      </w:r>
      <w:r w:rsidR="0039738C">
        <w:t>.</w:t>
      </w:r>
    </w:p>
    <w:p w:rsidR="00C45F03" w:rsidRDefault="00C45F03" w:rsidP="00C45F03">
      <w:pPr>
        <w:pStyle w:val="ListParagraph"/>
        <w:spacing w:line="360" w:lineRule="auto"/>
        <w:ind w:left="0" w:firstLine="720"/>
      </w:pPr>
    </w:p>
    <w:p w:rsidR="00E67489" w:rsidRDefault="00E67489" w:rsidP="00C45F03">
      <w:pPr>
        <w:pStyle w:val="ListParagraph"/>
        <w:spacing w:line="360" w:lineRule="auto"/>
        <w:ind w:left="0" w:firstLine="720"/>
      </w:pPr>
      <w:r>
        <w:t xml:space="preserve">The bulk of the comments on Part </w:t>
      </w:r>
      <w:r w:rsidR="00CA1459">
        <w:t xml:space="preserve">555 </w:t>
      </w:r>
      <w:r>
        <w:t>were on construction specifics related to casing and</w:t>
      </w:r>
      <w:r w:rsidR="00F537AD">
        <w:t xml:space="preserve"> </w:t>
      </w:r>
      <w:r w:rsidR="00285461">
        <w:t>well</w:t>
      </w:r>
      <w:r>
        <w:t xml:space="preserve"> plugging requirements. Many of the comments on Part </w:t>
      </w:r>
      <w:r w:rsidR="00185C7B">
        <w:t xml:space="preserve">556 </w:t>
      </w:r>
      <w:r>
        <w:t>expressed concern about the potential air impacts of venting and flaring</w:t>
      </w:r>
      <w:r w:rsidR="00F61704">
        <w:t xml:space="preserve">.  </w:t>
      </w:r>
      <w:r w:rsidR="00E54553">
        <w:t>A</w:t>
      </w:r>
      <w:r w:rsidR="00285461">
        <w:t xml:space="preserve"> revision was made to </w:t>
      </w:r>
      <w:r w:rsidR="00E54553">
        <w:t xml:space="preserve">the proposed regulations to </w:t>
      </w:r>
      <w:r w:rsidR="00285461">
        <w:t>clarify the approval process for flaring</w:t>
      </w:r>
      <w:r w:rsidR="00E54553">
        <w:t xml:space="preserve"> that would reduce potential air impacts</w:t>
      </w:r>
      <w:r w:rsidR="00285461">
        <w:t>.  Other comments focused on the proposed Sundry Well Notice and Report</w:t>
      </w:r>
      <w:r w:rsidR="00C61222">
        <w:t xml:space="preserve"> form</w:t>
      </w:r>
      <w:r w:rsidR="00285461">
        <w:t xml:space="preserve">, requesting either clarification on when it would be required or the time frames for submission.  The </w:t>
      </w:r>
      <w:r w:rsidR="00C61222">
        <w:t xml:space="preserve">revised rulemaking </w:t>
      </w:r>
      <w:r w:rsidR="00285461">
        <w:t>includes time frames, a verbal approval process for sundry notice operations similar to the verbal approval process in Part 553 and authority for the Department to suspend or terminate sundry notice approvals for good cause.</w:t>
      </w:r>
    </w:p>
    <w:p w:rsidR="00C45F03" w:rsidRDefault="00C45F03" w:rsidP="00C45F03">
      <w:pPr>
        <w:pStyle w:val="ListParagraph"/>
        <w:spacing w:line="360" w:lineRule="auto"/>
        <w:ind w:left="0" w:firstLine="720"/>
      </w:pPr>
    </w:p>
    <w:p w:rsidR="00C45F03" w:rsidRDefault="00C45F03" w:rsidP="00C45F03">
      <w:pPr>
        <w:spacing w:line="360" w:lineRule="auto"/>
      </w:pPr>
      <w:r>
        <w:tab/>
      </w:r>
      <w:r w:rsidR="00E54553">
        <w:t>M</w:t>
      </w:r>
      <w:r w:rsidR="00E67489">
        <w:t xml:space="preserve">ost comments on the proposed rulemaking were on the new Part 560 </w:t>
      </w:r>
      <w:r w:rsidR="00E54553">
        <w:t xml:space="preserve">that specifically </w:t>
      </w:r>
      <w:r w:rsidR="00E67489">
        <w:t>cover</w:t>
      </w:r>
      <w:r w:rsidR="00E54553">
        <w:t>s</w:t>
      </w:r>
      <w:r w:rsidR="00E67489">
        <w:t xml:space="preserve"> </w:t>
      </w:r>
      <w:r w:rsidR="00285461">
        <w:t>high-volume hydraulic fracturing</w:t>
      </w:r>
      <w:r w:rsidR="00E67489">
        <w:t xml:space="preserve"> activities. The proposed rules </w:t>
      </w:r>
      <w:r w:rsidR="00F61704">
        <w:t xml:space="preserve">for </w:t>
      </w:r>
      <w:r w:rsidR="00E67489">
        <w:t xml:space="preserve">this </w:t>
      </w:r>
      <w:r w:rsidR="00F61704">
        <w:t>P</w:t>
      </w:r>
      <w:r w:rsidR="00E67489">
        <w:t>art mirror many of the</w:t>
      </w:r>
      <w:r w:rsidR="00E67489" w:rsidRPr="0089546A">
        <w:t xml:space="preserve"> environmental mitigation measures identified during the SEQRA process.  </w:t>
      </w:r>
      <w:r w:rsidR="00E67489">
        <w:t xml:space="preserve">The comments corresponded to similar comments the Department has received on the </w:t>
      </w:r>
      <w:r w:rsidR="0003434C">
        <w:t xml:space="preserve">2011 </w:t>
      </w:r>
      <w:proofErr w:type="spellStart"/>
      <w:r w:rsidR="00BF140F">
        <w:t>rd</w:t>
      </w:r>
      <w:r w:rsidR="00E67489">
        <w:t>SGEIS</w:t>
      </w:r>
      <w:proofErr w:type="spellEnd"/>
      <w:r w:rsidR="00E67489">
        <w:t xml:space="preserve">, including areas such as emergency response, </w:t>
      </w:r>
      <w:r w:rsidR="00285461">
        <w:t xml:space="preserve">transportation impacts, local government and public input, </w:t>
      </w:r>
      <w:r w:rsidR="00E67489">
        <w:t>fracturing fluid disclosure, setbacks and prohibitions,</w:t>
      </w:r>
      <w:r w:rsidR="00285461">
        <w:t xml:space="preserve"> notification and reporting requirements, water well testing requirements,</w:t>
      </w:r>
      <w:r w:rsidR="00E67489">
        <w:t xml:space="preserve"> cementing and casing requirements, </w:t>
      </w:r>
      <w:r w:rsidR="001C6A77">
        <w:t>Naturally Occurring Radioactive Materials (</w:t>
      </w:r>
      <w:r w:rsidR="001C6A77" w:rsidRPr="00285461">
        <w:t>NORM</w:t>
      </w:r>
      <w:r w:rsidR="001C6A77">
        <w:t>)</w:t>
      </w:r>
      <w:r w:rsidR="00285461">
        <w:t xml:space="preserve"> </w:t>
      </w:r>
      <w:r w:rsidR="00E67489">
        <w:t xml:space="preserve">and other areas. </w:t>
      </w:r>
    </w:p>
    <w:p w:rsidR="00C45F03" w:rsidRDefault="00C45F03" w:rsidP="00C45F03">
      <w:pPr>
        <w:spacing w:line="360" w:lineRule="auto"/>
      </w:pPr>
    </w:p>
    <w:p w:rsidR="004C4377" w:rsidRPr="004C4377" w:rsidRDefault="00C45F03" w:rsidP="00C45F03">
      <w:pPr>
        <w:spacing w:line="360" w:lineRule="auto"/>
      </w:pPr>
      <w:r>
        <w:tab/>
      </w:r>
      <w:r w:rsidR="00110822">
        <w:t>The revised proposed regulations provide</w:t>
      </w:r>
      <w:r w:rsidR="00F537AD">
        <w:t xml:space="preserve"> for enhanced environmental protections while </w:t>
      </w:r>
      <w:r w:rsidR="00277A3C">
        <w:t>providing for efficient utilization of mineral resources.</w:t>
      </w:r>
      <w:r w:rsidR="00110822">
        <w:t xml:space="preserve"> Specifically, i</w:t>
      </w:r>
      <w:r w:rsidR="00E67489">
        <w:t xml:space="preserve">n response to these comments, the Department </w:t>
      </w:r>
      <w:r w:rsidR="00BF140F">
        <w:t>has proposed</w:t>
      </w:r>
      <w:r w:rsidR="00E67489">
        <w:t xml:space="preserve"> substantial revisions to the Part 560 regulations </w:t>
      </w:r>
      <w:r w:rsidR="005953F9">
        <w:t>to include: s</w:t>
      </w:r>
      <w:r w:rsidR="00285461">
        <w:t>everal new definitions</w:t>
      </w:r>
      <w:r w:rsidR="005953F9">
        <w:t xml:space="preserve">; </w:t>
      </w:r>
      <w:r w:rsidR="00AF1383">
        <w:t>a</w:t>
      </w:r>
      <w:r w:rsidR="00285461" w:rsidRPr="00285461">
        <w:t xml:space="preserve">n enhanced application process, including a 15-day </w:t>
      </w:r>
      <w:r w:rsidR="00AF1383">
        <w:t xml:space="preserve">public </w:t>
      </w:r>
      <w:r w:rsidR="001C6A77">
        <w:t>notice period;</w:t>
      </w:r>
      <w:r w:rsidR="00285461" w:rsidRPr="00285461">
        <w:t xml:space="preserve"> auth</w:t>
      </w:r>
      <w:r w:rsidR="001C6A77">
        <w:t>ority to collect SEQRA fees;</w:t>
      </w:r>
      <w:r w:rsidR="00285461" w:rsidRPr="00285461">
        <w:t xml:space="preserve"> enhanced chemical disclosure provisions</w:t>
      </w:r>
      <w:r w:rsidR="005024C1">
        <w:t xml:space="preserve"> with website posting</w:t>
      </w:r>
      <w:r w:rsidR="00AF1383">
        <w:t xml:space="preserve">; </w:t>
      </w:r>
      <w:r w:rsidR="00FA437C">
        <w:t>a</w:t>
      </w:r>
      <w:r w:rsidR="00285461" w:rsidRPr="00285461">
        <w:t>n increased setback from inhabited private dwellings or places of assembly</w:t>
      </w:r>
      <w:r w:rsidR="00FA437C">
        <w:t>, with</w:t>
      </w:r>
      <w:r w:rsidR="00AF1383">
        <w:t xml:space="preserve"> </w:t>
      </w:r>
      <w:r w:rsidR="00FA437C">
        <w:t>a</w:t>
      </w:r>
      <w:r w:rsidR="00285461" w:rsidRPr="00285461">
        <w:t xml:space="preserve"> variance process</w:t>
      </w:r>
      <w:r w:rsidR="00AF1383">
        <w:t xml:space="preserve">; </w:t>
      </w:r>
      <w:r w:rsidR="00FA437C">
        <w:t>e</w:t>
      </w:r>
      <w:r w:rsidR="00285461" w:rsidRPr="00285461">
        <w:t>nhanced notification and records retention requirements</w:t>
      </w:r>
      <w:r w:rsidR="00AF1383">
        <w:t xml:space="preserve">; </w:t>
      </w:r>
      <w:r w:rsidR="00FA437C">
        <w:t>s</w:t>
      </w:r>
      <w:r w:rsidR="00285461" w:rsidRPr="00285461">
        <w:t xml:space="preserve">pecified parameters for water well testing and </w:t>
      </w:r>
      <w:r w:rsidR="001C6A77">
        <w:t xml:space="preserve">a </w:t>
      </w:r>
      <w:r w:rsidR="00285461" w:rsidRPr="00285461">
        <w:t>requirement to report deviations from baseline</w:t>
      </w:r>
      <w:r w:rsidR="00AF1383">
        <w:t xml:space="preserve">; </w:t>
      </w:r>
      <w:r w:rsidR="00285461" w:rsidRPr="00285461">
        <w:t xml:space="preserve">public posting of </w:t>
      </w:r>
      <w:r w:rsidR="00551969">
        <w:t>D</w:t>
      </w:r>
      <w:r w:rsidR="00285461" w:rsidRPr="00285461">
        <w:t xml:space="preserve">rilling and </w:t>
      </w:r>
      <w:r w:rsidR="00551969">
        <w:t>P</w:t>
      </w:r>
      <w:r w:rsidR="00285461" w:rsidRPr="00285461">
        <w:t xml:space="preserve">roduction </w:t>
      </w:r>
      <w:r w:rsidR="00551969">
        <w:t>W</w:t>
      </w:r>
      <w:r w:rsidR="00285461" w:rsidRPr="00285461">
        <w:t xml:space="preserve">aste </w:t>
      </w:r>
      <w:r w:rsidR="00551969">
        <w:t>T</w:t>
      </w:r>
      <w:r w:rsidR="00285461" w:rsidRPr="00285461">
        <w:t xml:space="preserve">racking </w:t>
      </w:r>
      <w:r w:rsidR="00551969">
        <w:t>F</w:t>
      </w:r>
      <w:r w:rsidR="00285461" w:rsidRPr="00285461">
        <w:t>orm</w:t>
      </w:r>
      <w:r w:rsidR="002C3169">
        <w:t>,</w:t>
      </w:r>
      <w:r w:rsidR="00285461" w:rsidRPr="00285461">
        <w:t xml:space="preserve"> and post-completion fracturing fluid </w:t>
      </w:r>
      <w:r w:rsidR="00285461" w:rsidRPr="00285461">
        <w:lastRenderedPageBreak/>
        <w:t>disclosure</w:t>
      </w:r>
      <w:r w:rsidR="00AF1383">
        <w:t xml:space="preserve">; </w:t>
      </w:r>
      <w:r w:rsidR="00551969">
        <w:t xml:space="preserve">and </w:t>
      </w:r>
      <w:r w:rsidR="00285461" w:rsidRPr="00285461">
        <w:t>specifics on NORM testing</w:t>
      </w:r>
      <w:r w:rsidR="00FA437C">
        <w:t xml:space="preserve">. </w:t>
      </w:r>
      <w:r w:rsidR="00E67489">
        <w:t xml:space="preserve">Other non-substantial </w:t>
      </w:r>
      <w:r w:rsidR="00F87826">
        <w:t xml:space="preserve">clarifying </w:t>
      </w:r>
      <w:r w:rsidR="00E67489">
        <w:t xml:space="preserve">revisions </w:t>
      </w:r>
      <w:r w:rsidR="000729FE">
        <w:t xml:space="preserve">were made to </w:t>
      </w:r>
      <w:r w:rsidR="00E67489">
        <w:t xml:space="preserve">proposed Part 560 based on comments received </w:t>
      </w:r>
      <w:r>
        <w:t>regarding</w:t>
      </w:r>
      <w:r w:rsidR="00E67489">
        <w:t xml:space="preserve"> </w:t>
      </w:r>
      <w:r w:rsidR="00285461">
        <w:t>application requirements, fluid disposal plans,</w:t>
      </w:r>
      <w:r w:rsidR="00E67489">
        <w:t xml:space="preserve"> setbacks</w:t>
      </w:r>
      <w:r w:rsidR="00285461">
        <w:t>,</w:t>
      </w:r>
      <w:r w:rsidR="00E67489">
        <w:t xml:space="preserve"> </w:t>
      </w:r>
      <w:r w:rsidR="001E4849">
        <w:t xml:space="preserve">casing and </w:t>
      </w:r>
      <w:r w:rsidR="00E67489">
        <w:t>cementing requirements</w:t>
      </w:r>
      <w:r w:rsidR="00285461">
        <w:t>, site reclamation, and recordkeeping.</w:t>
      </w:r>
    </w:p>
    <w:sectPr w:rsidR="004C4377" w:rsidRPr="004C4377" w:rsidSect="00B2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974A2"/>
    <w:multiLevelType w:val="hybridMultilevel"/>
    <w:tmpl w:val="6090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D019C"/>
    <w:multiLevelType w:val="hybridMultilevel"/>
    <w:tmpl w:val="F890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A1232B"/>
    <w:multiLevelType w:val="hybridMultilevel"/>
    <w:tmpl w:val="DB1E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6"/>
    <w:rsid w:val="00000616"/>
    <w:rsid w:val="000028DE"/>
    <w:rsid w:val="00025CC8"/>
    <w:rsid w:val="0003434C"/>
    <w:rsid w:val="00041CD1"/>
    <w:rsid w:val="00052617"/>
    <w:rsid w:val="000541D6"/>
    <w:rsid w:val="000569B7"/>
    <w:rsid w:val="00071164"/>
    <w:rsid w:val="000729FE"/>
    <w:rsid w:val="00084919"/>
    <w:rsid w:val="000E2DB6"/>
    <w:rsid w:val="000E4340"/>
    <w:rsid w:val="0010082C"/>
    <w:rsid w:val="00107ED3"/>
    <w:rsid w:val="00110822"/>
    <w:rsid w:val="00123C49"/>
    <w:rsid w:val="0013417B"/>
    <w:rsid w:val="00175A6F"/>
    <w:rsid w:val="00181785"/>
    <w:rsid w:val="00185C7B"/>
    <w:rsid w:val="00186042"/>
    <w:rsid w:val="00192F04"/>
    <w:rsid w:val="001B276F"/>
    <w:rsid w:val="001C6A77"/>
    <w:rsid w:val="001E4849"/>
    <w:rsid w:val="001F4BED"/>
    <w:rsid w:val="001F6DF7"/>
    <w:rsid w:val="00214B66"/>
    <w:rsid w:val="002221DD"/>
    <w:rsid w:val="00263C17"/>
    <w:rsid w:val="002751B2"/>
    <w:rsid w:val="00277A3C"/>
    <w:rsid w:val="00280452"/>
    <w:rsid w:val="002820FD"/>
    <w:rsid w:val="00285461"/>
    <w:rsid w:val="00286F71"/>
    <w:rsid w:val="002C2480"/>
    <w:rsid w:val="002C3169"/>
    <w:rsid w:val="002E119C"/>
    <w:rsid w:val="002E51DF"/>
    <w:rsid w:val="002E523B"/>
    <w:rsid w:val="002F03E1"/>
    <w:rsid w:val="003118AB"/>
    <w:rsid w:val="00311EC7"/>
    <w:rsid w:val="00393BD1"/>
    <w:rsid w:val="0039738C"/>
    <w:rsid w:val="003C1774"/>
    <w:rsid w:val="004A14DE"/>
    <w:rsid w:val="004B7FB8"/>
    <w:rsid w:val="004C4377"/>
    <w:rsid w:val="004E4E5B"/>
    <w:rsid w:val="004E621B"/>
    <w:rsid w:val="005024C1"/>
    <w:rsid w:val="00512766"/>
    <w:rsid w:val="00527A2C"/>
    <w:rsid w:val="00533FE6"/>
    <w:rsid w:val="00542265"/>
    <w:rsid w:val="00551969"/>
    <w:rsid w:val="005754BD"/>
    <w:rsid w:val="005869B0"/>
    <w:rsid w:val="005953F9"/>
    <w:rsid w:val="005B64C4"/>
    <w:rsid w:val="00600542"/>
    <w:rsid w:val="006079EB"/>
    <w:rsid w:val="00630D8B"/>
    <w:rsid w:val="006359CF"/>
    <w:rsid w:val="0065659D"/>
    <w:rsid w:val="00660F42"/>
    <w:rsid w:val="00671817"/>
    <w:rsid w:val="00681300"/>
    <w:rsid w:val="00681CAD"/>
    <w:rsid w:val="006C07C4"/>
    <w:rsid w:val="006F3DFC"/>
    <w:rsid w:val="007030F4"/>
    <w:rsid w:val="00736C89"/>
    <w:rsid w:val="00747146"/>
    <w:rsid w:val="00765C41"/>
    <w:rsid w:val="00774759"/>
    <w:rsid w:val="0078319A"/>
    <w:rsid w:val="0078777E"/>
    <w:rsid w:val="007B4EA9"/>
    <w:rsid w:val="007E1EE7"/>
    <w:rsid w:val="007E70E8"/>
    <w:rsid w:val="00802D7A"/>
    <w:rsid w:val="00897FEA"/>
    <w:rsid w:val="008C0C50"/>
    <w:rsid w:val="009071B4"/>
    <w:rsid w:val="00924D60"/>
    <w:rsid w:val="009351CB"/>
    <w:rsid w:val="00950582"/>
    <w:rsid w:val="00962EB2"/>
    <w:rsid w:val="009777D8"/>
    <w:rsid w:val="00992E13"/>
    <w:rsid w:val="009B5F31"/>
    <w:rsid w:val="009E51BB"/>
    <w:rsid w:val="00A000EE"/>
    <w:rsid w:val="00A17AA7"/>
    <w:rsid w:val="00A2221C"/>
    <w:rsid w:val="00A349B7"/>
    <w:rsid w:val="00A45FA8"/>
    <w:rsid w:val="00A530DF"/>
    <w:rsid w:val="00A655FE"/>
    <w:rsid w:val="00AA323F"/>
    <w:rsid w:val="00AC5715"/>
    <w:rsid w:val="00AE5038"/>
    <w:rsid w:val="00AF1383"/>
    <w:rsid w:val="00AF2D0D"/>
    <w:rsid w:val="00B16930"/>
    <w:rsid w:val="00B21E3F"/>
    <w:rsid w:val="00B227F8"/>
    <w:rsid w:val="00B3443B"/>
    <w:rsid w:val="00B4561B"/>
    <w:rsid w:val="00B83FEF"/>
    <w:rsid w:val="00B95D20"/>
    <w:rsid w:val="00B95F65"/>
    <w:rsid w:val="00BD57EB"/>
    <w:rsid w:val="00BE09A2"/>
    <w:rsid w:val="00BF140F"/>
    <w:rsid w:val="00C03E5B"/>
    <w:rsid w:val="00C40539"/>
    <w:rsid w:val="00C45F03"/>
    <w:rsid w:val="00C46813"/>
    <w:rsid w:val="00C50F5D"/>
    <w:rsid w:val="00C54C5A"/>
    <w:rsid w:val="00C61222"/>
    <w:rsid w:val="00C96348"/>
    <w:rsid w:val="00CA1459"/>
    <w:rsid w:val="00CA35F6"/>
    <w:rsid w:val="00CC0B23"/>
    <w:rsid w:val="00CF3E6A"/>
    <w:rsid w:val="00D24549"/>
    <w:rsid w:val="00D71B77"/>
    <w:rsid w:val="00D76BF9"/>
    <w:rsid w:val="00D864C9"/>
    <w:rsid w:val="00DB4569"/>
    <w:rsid w:val="00DB7CEE"/>
    <w:rsid w:val="00DE0C7C"/>
    <w:rsid w:val="00DE7DF9"/>
    <w:rsid w:val="00E023F2"/>
    <w:rsid w:val="00E1064A"/>
    <w:rsid w:val="00E1342C"/>
    <w:rsid w:val="00E40B73"/>
    <w:rsid w:val="00E54553"/>
    <w:rsid w:val="00E67489"/>
    <w:rsid w:val="00E82D98"/>
    <w:rsid w:val="00EA0E2A"/>
    <w:rsid w:val="00ED2CC9"/>
    <w:rsid w:val="00EE0276"/>
    <w:rsid w:val="00F2172E"/>
    <w:rsid w:val="00F477C6"/>
    <w:rsid w:val="00F537AD"/>
    <w:rsid w:val="00F57F22"/>
    <w:rsid w:val="00F61704"/>
    <w:rsid w:val="00F64EE0"/>
    <w:rsid w:val="00F87826"/>
    <w:rsid w:val="00F9638B"/>
    <w:rsid w:val="00FA437C"/>
    <w:rsid w:val="00FA4C41"/>
    <w:rsid w:val="00FD2C81"/>
    <w:rsid w:val="00FE3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4C4377"/>
    <w:pPr>
      <w:spacing w:after="280" w:line="360" w:lineRule="auto"/>
    </w:pPr>
  </w:style>
  <w:style w:type="character" w:customStyle="1" w:styleId="BodyTextChar">
    <w:name w:val="Body Text Char"/>
    <w:aliases w:val="b Char"/>
    <w:basedOn w:val="DefaultParagraphFont"/>
    <w:link w:val="BodyText"/>
    <w:uiPriority w:val="99"/>
    <w:rsid w:val="004C4377"/>
  </w:style>
  <w:style w:type="table" w:styleId="TableGrid">
    <w:name w:val="Table Grid"/>
    <w:basedOn w:val="TableNormal"/>
    <w:rsid w:val="009505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477C6"/>
    <w:rPr>
      <w:sz w:val="16"/>
      <w:szCs w:val="16"/>
    </w:rPr>
  </w:style>
  <w:style w:type="paragraph" w:styleId="CommentText">
    <w:name w:val="annotation text"/>
    <w:basedOn w:val="Normal"/>
    <w:link w:val="CommentTextChar"/>
    <w:rsid w:val="00F477C6"/>
    <w:rPr>
      <w:sz w:val="20"/>
      <w:szCs w:val="20"/>
    </w:rPr>
  </w:style>
  <w:style w:type="character" w:customStyle="1" w:styleId="CommentTextChar">
    <w:name w:val="Comment Text Char"/>
    <w:basedOn w:val="DefaultParagraphFont"/>
    <w:link w:val="CommentText"/>
    <w:rsid w:val="00F477C6"/>
    <w:rPr>
      <w:sz w:val="20"/>
      <w:szCs w:val="20"/>
    </w:rPr>
  </w:style>
  <w:style w:type="paragraph" w:styleId="CommentSubject">
    <w:name w:val="annotation subject"/>
    <w:basedOn w:val="CommentText"/>
    <w:next w:val="CommentText"/>
    <w:link w:val="CommentSubjectChar"/>
    <w:rsid w:val="00F477C6"/>
    <w:rPr>
      <w:b/>
      <w:bCs/>
    </w:rPr>
  </w:style>
  <w:style w:type="character" w:customStyle="1" w:styleId="CommentSubjectChar">
    <w:name w:val="Comment Subject Char"/>
    <w:basedOn w:val="CommentTextChar"/>
    <w:link w:val="CommentSubject"/>
    <w:rsid w:val="00F477C6"/>
    <w:rPr>
      <w:b/>
      <w:bCs/>
      <w:sz w:val="20"/>
      <w:szCs w:val="20"/>
    </w:rPr>
  </w:style>
  <w:style w:type="paragraph" w:styleId="BalloonText">
    <w:name w:val="Balloon Text"/>
    <w:basedOn w:val="Normal"/>
    <w:link w:val="BalloonTextChar"/>
    <w:rsid w:val="00F477C6"/>
    <w:rPr>
      <w:rFonts w:ascii="Tahoma" w:hAnsi="Tahoma" w:cs="Tahoma"/>
      <w:sz w:val="16"/>
      <w:szCs w:val="16"/>
    </w:rPr>
  </w:style>
  <w:style w:type="character" w:customStyle="1" w:styleId="BalloonTextChar">
    <w:name w:val="Balloon Text Char"/>
    <w:basedOn w:val="DefaultParagraphFont"/>
    <w:link w:val="BalloonText"/>
    <w:rsid w:val="00F477C6"/>
    <w:rPr>
      <w:rFonts w:ascii="Tahoma" w:hAnsi="Tahoma" w:cs="Tahoma"/>
      <w:sz w:val="16"/>
      <w:szCs w:val="16"/>
    </w:rPr>
  </w:style>
  <w:style w:type="paragraph" w:styleId="ListParagraph">
    <w:name w:val="List Paragraph"/>
    <w:basedOn w:val="Normal"/>
    <w:uiPriority w:val="34"/>
    <w:qFormat/>
    <w:rsid w:val="00E674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4C4377"/>
    <w:pPr>
      <w:spacing w:after="280" w:line="360" w:lineRule="auto"/>
    </w:pPr>
  </w:style>
  <w:style w:type="character" w:customStyle="1" w:styleId="BodyTextChar">
    <w:name w:val="Body Text Char"/>
    <w:aliases w:val="b Char"/>
    <w:basedOn w:val="DefaultParagraphFont"/>
    <w:link w:val="BodyText"/>
    <w:uiPriority w:val="99"/>
    <w:rsid w:val="004C4377"/>
  </w:style>
  <w:style w:type="table" w:styleId="TableGrid">
    <w:name w:val="Table Grid"/>
    <w:basedOn w:val="TableNormal"/>
    <w:rsid w:val="009505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477C6"/>
    <w:rPr>
      <w:sz w:val="16"/>
      <w:szCs w:val="16"/>
    </w:rPr>
  </w:style>
  <w:style w:type="paragraph" w:styleId="CommentText">
    <w:name w:val="annotation text"/>
    <w:basedOn w:val="Normal"/>
    <w:link w:val="CommentTextChar"/>
    <w:rsid w:val="00F477C6"/>
    <w:rPr>
      <w:sz w:val="20"/>
      <w:szCs w:val="20"/>
    </w:rPr>
  </w:style>
  <w:style w:type="character" w:customStyle="1" w:styleId="CommentTextChar">
    <w:name w:val="Comment Text Char"/>
    <w:basedOn w:val="DefaultParagraphFont"/>
    <w:link w:val="CommentText"/>
    <w:rsid w:val="00F477C6"/>
    <w:rPr>
      <w:sz w:val="20"/>
      <w:szCs w:val="20"/>
    </w:rPr>
  </w:style>
  <w:style w:type="paragraph" w:styleId="CommentSubject">
    <w:name w:val="annotation subject"/>
    <w:basedOn w:val="CommentText"/>
    <w:next w:val="CommentText"/>
    <w:link w:val="CommentSubjectChar"/>
    <w:rsid w:val="00F477C6"/>
    <w:rPr>
      <w:b/>
      <w:bCs/>
    </w:rPr>
  </w:style>
  <w:style w:type="character" w:customStyle="1" w:styleId="CommentSubjectChar">
    <w:name w:val="Comment Subject Char"/>
    <w:basedOn w:val="CommentTextChar"/>
    <w:link w:val="CommentSubject"/>
    <w:rsid w:val="00F477C6"/>
    <w:rPr>
      <w:b/>
      <w:bCs/>
      <w:sz w:val="20"/>
      <w:szCs w:val="20"/>
    </w:rPr>
  </w:style>
  <w:style w:type="paragraph" w:styleId="BalloonText">
    <w:name w:val="Balloon Text"/>
    <w:basedOn w:val="Normal"/>
    <w:link w:val="BalloonTextChar"/>
    <w:rsid w:val="00F477C6"/>
    <w:rPr>
      <w:rFonts w:ascii="Tahoma" w:hAnsi="Tahoma" w:cs="Tahoma"/>
      <w:sz w:val="16"/>
      <w:szCs w:val="16"/>
    </w:rPr>
  </w:style>
  <w:style w:type="character" w:customStyle="1" w:styleId="BalloonTextChar">
    <w:name w:val="Balloon Text Char"/>
    <w:basedOn w:val="DefaultParagraphFont"/>
    <w:link w:val="BalloonText"/>
    <w:rsid w:val="00F477C6"/>
    <w:rPr>
      <w:rFonts w:ascii="Tahoma" w:hAnsi="Tahoma" w:cs="Tahoma"/>
      <w:sz w:val="16"/>
      <w:szCs w:val="16"/>
    </w:rPr>
  </w:style>
  <w:style w:type="paragraph" w:styleId="ListParagraph">
    <w:name w:val="List Paragraph"/>
    <w:basedOn w:val="Normal"/>
    <w:uiPriority w:val="34"/>
    <w:qFormat/>
    <w:rsid w:val="00E6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C65D-D6F2-BE4C-B03C-31EA910E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11931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shgarlic</dc:creator>
  <cp:keywords/>
  <dc:description/>
  <cp:lastModifiedBy>G B</cp:lastModifiedBy>
  <cp:revision>2</cp:revision>
  <dcterms:created xsi:type="dcterms:W3CDTF">2012-11-29T15:56:00Z</dcterms:created>
  <dcterms:modified xsi:type="dcterms:W3CDTF">2012-11-29T15:56:00Z</dcterms:modified>
</cp:coreProperties>
</file>